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color w:val="2f5496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color w:val="2f5496"/>
          <w:sz w:val="36"/>
          <w:szCs w:val="36"/>
        </w:rPr>
      </w:pPr>
      <w:r w:rsidDel="00000000" w:rsidR="00000000" w:rsidRPr="00000000">
        <w:rPr>
          <w:b w:val="1"/>
          <w:color w:val="2f5496"/>
          <w:sz w:val="36"/>
          <w:szCs w:val="36"/>
          <w:rtl w:val="0"/>
        </w:rPr>
        <w:t xml:space="preserve">Las compañías de seguros van hacia un futuro de maduración digital.</w:t>
      </w:r>
    </w:p>
    <w:p w:rsidR="00000000" w:rsidDel="00000000" w:rsidP="00000000" w:rsidRDefault="00000000" w:rsidRPr="00000000" w14:paraId="00000003">
      <w:pPr>
        <w:shd w:fill="ffffff" w:val="clear"/>
        <w:spacing w:line="240" w:lineRule="auto"/>
        <w:jc w:val="center"/>
        <w:rPr>
          <w:i w:val="1"/>
          <w:color w:val="2f5496"/>
          <w:sz w:val="26"/>
          <w:szCs w:val="26"/>
        </w:rPr>
      </w:pPr>
      <w:r w:rsidDel="00000000" w:rsidR="00000000" w:rsidRPr="00000000">
        <w:rPr>
          <w:i w:val="1"/>
          <w:color w:val="2f5496"/>
          <w:sz w:val="26"/>
          <w:szCs w:val="26"/>
          <w:rtl w:val="0"/>
        </w:rPr>
        <w:t xml:space="preserve">La Asociación Argentina de Compañías de Seguros y la Cámara Argentina de la Industria del Software (CESSI) en conjunto desarrollaron el índice de maduración digital del mercado asegurador.</w:t>
      </w:r>
    </w:p>
    <w:p w:rsidR="00000000" w:rsidDel="00000000" w:rsidP="00000000" w:rsidRDefault="00000000" w:rsidRPr="00000000" w14:paraId="00000004">
      <w:pPr>
        <w:shd w:fill="ffffff" w:val="clear"/>
        <w:spacing w:line="24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El objetivo de esta iniciativa es la creación de un Índice de maduración digital que permita impulsar la aceleración de los procesos digitales y culturales del ecosistema asegurador.</w:t>
      </w:r>
    </w:p>
    <w:p w:rsidR="00000000" w:rsidDel="00000000" w:rsidP="00000000" w:rsidRDefault="00000000" w:rsidRPr="00000000" w14:paraId="00000005">
      <w:pPr>
        <w:spacing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 "Desde CESSI creemos que haber logrado crear el primer índice de maduración digital para la Industria de Seguros permitirá a las compañías evaluar cuál es su grado de transformación como también sensibilizar a los CEOs para la adopción de nuevas tecnologías, y de esta manera reconvertir a sus empresas hacia un modelo totalmente digital adaptado a las exigencias de los clientes en el mundo actual"</w:t>
      </w:r>
      <w:r w:rsidDel="00000000" w:rsidR="00000000" w:rsidRPr="00000000">
        <w:rPr>
          <w:b w:val="1"/>
          <w:sz w:val="24"/>
          <w:szCs w:val="24"/>
          <w:rtl w:val="0"/>
        </w:rPr>
        <w:t xml:space="preserve">, explicó Aldo Kazakevich, miembro de la Comisión Directiva de CESSI.</w:t>
      </w:r>
    </w:p>
    <w:p w:rsidR="00000000" w:rsidDel="00000000" w:rsidP="00000000" w:rsidRDefault="00000000" w:rsidRPr="00000000" w14:paraId="00000006">
      <w:pPr>
        <w:shd w:fill="ffffff" w:val="clear"/>
        <w:spacing w:line="24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De esta encuesta participaron las más importantes compañías de seguros miembro de la AACS representando el 55% de todas ellas y un 15% de aseguradoras del mercado, exceptuando a las ART.</w:t>
      </w:r>
    </w:p>
    <w:p w:rsidR="00000000" w:rsidDel="00000000" w:rsidP="00000000" w:rsidRDefault="00000000" w:rsidRPr="00000000" w14:paraId="00000007">
      <w:pPr>
        <w:shd w:fill="ffffff" w:val="clear"/>
        <w:spacing w:line="24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Las preguntas que debieron responder los consultados giraron sobre los siguientes temas: 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ind w:left="720" w:hanging="36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Delivery digital de pólizas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ind w:left="720" w:hanging="36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Estrategia digital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ind w:left="720" w:hanging="36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Nuevos clientes por canales digitales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ind w:left="720" w:hanging="36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Website para asegurados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ind w:left="720" w:hanging="36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App mobile para asegurados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ind w:left="720" w:hanging="36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Otros canales para asegurados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ind w:left="720" w:hanging="36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App mobile para productores más otros canales</w:t>
      </w:r>
    </w:p>
    <w:p w:rsidR="00000000" w:rsidDel="00000000" w:rsidP="00000000" w:rsidRDefault="00000000" w:rsidRPr="00000000" w14:paraId="0000000F">
      <w:pPr>
        <w:shd w:fill="ffffff" w:val="clear"/>
        <w:spacing w:line="24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spacing w:line="24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Resultados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line="24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Si bien es un primer acercamiento a cómo las compañías de seguros se están adaptando a la tendencia de utilizar los medios digitales que desarrollan a gran escala empresas de diversos rubros, deja ver claramente que la digitalización es una herramienta que agiliza la experiencia de los usuarios y que pueden ser un instrumento de gran soporte para las aseguradoras.</w:t>
      </w:r>
    </w:p>
    <w:p w:rsidR="00000000" w:rsidDel="00000000" w:rsidP="00000000" w:rsidRDefault="00000000" w:rsidRPr="00000000" w14:paraId="00000012">
      <w:pPr>
        <w:shd w:fill="ffffff" w:val="clear"/>
        <w:spacing w:line="24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De este índice se puede destacar que el 100% de las compañías utilizan pólizas digitales siendo el canal más importante para la estrategia digital con clientes, la Internet y los sitios web.</w:t>
      </w:r>
    </w:p>
    <w:p w:rsidR="00000000" w:rsidDel="00000000" w:rsidP="00000000" w:rsidRDefault="00000000" w:rsidRPr="00000000" w14:paraId="00000013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Además, del relevamiento realizado las páginas webs para los asegurados constituyen una vía de comunicación central para las operaciones y se proyectan como parte de la estrategia digital a futuro ya que son utilizadas por un  60% de los asegurados cubriendo, en la mayoría de los casos, todas las funcionalidades relevantes como: onboarding, cotización, emisión, inspección y pagos.</w:t>
      </w:r>
    </w:p>
    <w:p w:rsidR="00000000" w:rsidDel="00000000" w:rsidP="00000000" w:rsidRDefault="00000000" w:rsidRPr="00000000" w14:paraId="00000014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399730" cy="3048000"/>
            <wp:effectExtent b="0" l="0" r="0" t="0"/>
            <wp:docPr id="9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jc w:val="both"/>
        <w:rPr>
          <w:sz w:val="24"/>
          <w:szCs w:val="24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jc w:val="both"/>
        <w:rPr/>
      </w:pPr>
      <w:r w:rsidDel="00000000" w:rsidR="00000000" w:rsidRPr="00000000">
        <w:rPr/>
        <w:drawing>
          <wp:inline distB="0" distT="0" distL="0" distR="0">
            <wp:extent cx="5400040" cy="3035935"/>
            <wp:effectExtent b="0" l="0" r="0" t="0"/>
            <wp:docPr id="9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399730" cy="3048000"/>
            <wp:effectExtent b="0" l="0" r="0" t="0"/>
            <wp:docPr id="9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Por otro lado, el auge de las aplicaciones para dispositivos móviles no logra aún tener un gran alcance a pesar de que gran parte de las empresas lo ofrecen.  Sólo el 29% de los asegurados las utilizan para consulta de pólizas principalmente o servicios de asistencia.</w:t>
      </w:r>
    </w:p>
    <w:p w:rsidR="00000000" w:rsidDel="00000000" w:rsidP="00000000" w:rsidRDefault="00000000" w:rsidRPr="00000000" w14:paraId="0000001B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ventaja de estas plataformas digitales es que permite conservar el historial del usuario y además, tener un registro legítimo de vinculación con las aseguradoras.</w:t>
      </w:r>
    </w:p>
    <w:p w:rsidR="00000000" w:rsidDel="00000000" w:rsidP="00000000" w:rsidRDefault="00000000" w:rsidRPr="00000000" w14:paraId="0000001C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399730" cy="3048000"/>
            <wp:effectExtent b="0" l="0" r="0" t="0"/>
            <wp:docPr id="9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jc w:val="both"/>
        <w:rPr/>
      </w:pPr>
      <w:r w:rsidDel="00000000" w:rsidR="00000000" w:rsidRPr="00000000">
        <w:rPr/>
        <w:drawing>
          <wp:inline distB="0" distT="0" distL="0" distR="0">
            <wp:extent cx="5400040" cy="3035935"/>
            <wp:effectExtent b="0" l="0" r="0" t="0"/>
            <wp:docPr id="9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399730" cy="3048000"/>
            <wp:effectExtent b="0" l="0" r="0" t="0"/>
            <wp:docPr id="10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De la encuesta también surge que hay otros canales de comunicación como IVR automático, chatbot y voicebot que también son utilizados por los asegurados.</w:t>
      </w:r>
    </w:p>
    <w:p w:rsidR="00000000" w:rsidDel="00000000" w:rsidP="00000000" w:rsidRDefault="00000000" w:rsidRPr="00000000" w14:paraId="00000021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399730" cy="3048000"/>
            <wp:effectExtent b="0" l="0" r="0" t="0"/>
            <wp:docPr id="9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Distinto es el caso de la App Mobile para productores ya que es un canal poco desarrollado, la mayoría de las aseguradoras, el 57%, no cuentan con esta opción. Sin embargo, es una herramienta que tiene vistas a continuar creciendo. </w:t>
      </w:r>
    </w:p>
    <w:p w:rsidR="00000000" w:rsidDel="00000000" w:rsidP="00000000" w:rsidRDefault="00000000" w:rsidRPr="00000000" w14:paraId="00000023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399730" cy="3048000"/>
            <wp:effectExtent b="0" l="0" r="0" t="0"/>
            <wp:docPr id="10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jc w:val="both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</w:rPr>
        <w:drawing>
          <wp:inline distB="114300" distT="114300" distL="114300" distR="114300">
            <wp:extent cx="5399730" cy="3048000"/>
            <wp:effectExtent b="0" l="0" r="0" t="0"/>
            <wp:docPr id="10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jc w:val="both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jc w:val="both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Índice de madurez digital</w:t>
      </w:r>
    </w:p>
    <w:p w:rsidR="00000000" w:rsidDel="00000000" w:rsidP="00000000" w:rsidRDefault="00000000" w:rsidRPr="00000000" w14:paraId="00000027">
      <w:pPr>
        <w:shd w:fill="ffffff" w:val="clear"/>
        <w:spacing w:line="240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CESSI y AACS crearon este índice con el fin de incentivar a las compañías de seguros a acelerar los tiempos en el desarrollo de canales digitales para que tanto los usuarios como los productores puedan obtener información y realizar trámites desde cualquier sitio y en todo momento.</w:t>
      </w:r>
    </w:p>
    <w:p w:rsidR="00000000" w:rsidDel="00000000" w:rsidP="00000000" w:rsidRDefault="00000000" w:rsidRPr="00000000" w14:paraId="00000028">
      <w:pPr>
        <w:spacing w:line="240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●Se construyó otorgándole un puntaje a todas las posibles respuestas de cada una de las preguntas de la encuesta.</w:t>
      </w:r>
    </w:p>
    <w:p w:rsidR="00000000" w:rsidDel="00000000" w:rsidP="00000000" w:rsidRDefault="00000000" w:rsidRPr="00000000" w14:paraId="00000029">
      <w:pPr>
        <w:spacing w:line="240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●El puntaje total de cada pregunta se estableció de acuerdo a su relevancia para la transformación digital.</w:t>
      </w:r>
    </w:p>
    <w:p w:rsidR="00000000" w:rsidDel="00000000" w:rsidP="00000000" w:rsidRDefault="00000000" w:rsidRPr="00000000" w14:paraId="0000002A">
      <w:pPr>
        <w:spacing w:line="240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●Las preguntas, así como sus puntajes, fueron agrupadas en ejes temáticos: estrategia digital, website, etc.-</w:t>
      </w:r>
    </w:p>
    <w:p w:rsidR="00000000" w:rsidDel="00000000" w:rsidP="00000000" w:rsidRDefault="00000000" w:rsidRPr="00000000" w14:paraId="0000002B">
      <w:pPr>
        <w:spacing w:line="240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●Para cada eje se calculó el puntaje por empresa y se lo convirtió a una escala del 0 al 10 para facilitar su comprensión</w:t>
      </w:r>
    </w:p>
    <w:p w:rsidR="00000000" w:rsidDel="00000000" w:rsidP="00000000" w:rsidRDefault="00000000" w:rsidRPr="00000000" w14:paraId="0000002C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400040" cy="3035935"/>
            <wp:effectExtent b="0" l="0" r="0" t="0"/>
            <wp:docPr id="10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partir de esta iniciativa, tanto AACS como CESSI se comprometen a continuar estudiando las dimensiones ya analizadas (estructura operacional y plataforma digital) y abarcar más áreas como: visión compartida del cliente, marco formal de responsabilidades y plataforma para desarrolladores externos/socios.</w:t>
      </w:r>
    </w:p>
    <w:p w:rsidR="00000000" w:rsidDel="00000000" w:rsidP="00000000" w:rsidRDefault="00000000" w:rsidRPr="00000000" w14:paraId="00000032">
      <w:pPr>
        <w:spacing w:line="240" w:lineRule="auto"/>
        <w:jc w:val="both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“Este proceso va a redundar en mejor calidad de servicio hacia los usuarios finales, mayor calidad en la operatoria y transparencia del mercado. Somos optimistas en que esta transformación va a evolucionar y en poco tiempo se va a ubicar entre las principales actividades con mayor madurez digital”,</w:t>
      </w:r>
      <w:r w:rsidDel="00000000" w:rsidR="00000000" w:rsidRPr="00000000">
        <w:rPr>
          <w:i w:val="1"/>
          <w:sz w:val="24"/>
          <w:szCs w:val="24"/>
          <w:rtl w:val="0"/>
        </w:rPr>
        <w:t xml:space="preserve"> dijo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 Gustavo Trías, director ejecutivo de la AACS.</w:t>
      </w:r>
    </w:p>
    <w:p w:rsidR="00000000" w:rsidDel="00000000" w:rsidP="00000000" w:rsidRDefault="00000000" w:rsidRPr="00000000" w14:paraId="00000033">
      <w:pPr>
        <w:spacing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7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 w:rsidDel="00000000" w:rsidR="00000000" w:rsidRPr="00000000">
      <w:rPr/>
      <w:drawing>
        <wp:inline distB="0" distT="0" distL="114300" distR="114300">
          <wp:extent cx="1362075" cy="857250"/>
          <wp:effectExtent b="0" l="0" r="0" t="0"/>
          <wp:docPr id="10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62075" cy="857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                                                           </w:t>
    </w:r>
    <w:r w:rsidDel="00000000" w:rsidR="00000000" w:rsidRPr="00000000">
      <w:rPr/>
      <w:drawing>
        <wp:inline distB="114300" distT="114300" distL="114300" distR="114300">
          <wp:extent cx="1687822" cy="866720"/>
          <wp:effectExtent b="0" l="0" r="0" t="0"/>
          <wp:docPr id="10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87822" cy="86672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A27D7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0C7997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0C7997"/>
  </w:style>
  <w:style w:type="paragraph" w:styleId="Piedepgina">
    <w:name w:val="footer"/>
    <w:basedOn w:val="Normal"/>
    <w:link w:val="PiedepginaCar"/>
    <w:uiPriority w:val="99"/>
    <w:unhideWhenUsed w:val="1"/>
    <w:rsid w:val="000C7997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0C7997"/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2B22B8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2B22B8"/>
    <w:rPr>
      <w:rFonts w:ascii="Tahoma" w:cs="Tahoma" w:hAnsi="Tahoma"/>
      <w:sz w:val="16"/>
      <w:szCs w:val="16"/>
    </w:rPr>
  </w:style>
  <w:style w:type="paragraph" w:styleId="Textonotaalfinal">
    <w:name w:val="endnote text"/>
    <w:basedOn w:val="Normal"/>
    <w:link w:val="TextonotaalfinalCar"/>
    <w:uiPriority w:val="99"/>
    <w:semiHidden w:val="1"/>
    <w:unhideWhenUsed w:val="1"/>
    <w:rsid w:val="002B22B8"/>
    <w:pPr>
      <w:spacing w:after="0" w:line="240" w:lineRule="auto"/>
    </w:pPr>
    <w:rPr>
      <w:sz w:val="20"/>
      <w:szCs w:val="20"/>
    </w:rPr>
  </w:style>
  <w:style w:type="character" w:styleId="TextonotaalfinalCar" w:customStyle="1">
    <w:name w:val="Texto nota al final Car"/>
    <w:basedOn w:val="Fuentedeprrafopredeter"/>
    <w:link w:val="Textonotaalfinal"/>
    <w:uiPriority w:val="99"/>
    <w:semiHidden w:val="1"/>
    <w:rsid w:val="002B22B8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 w:val="1"/>
    <w:unhideWhenUsed w:val="1"/>
    <w:rsid w:val="002B22B8"/>
    <w:rPr>
      <w:vertAlign w:val="superscript"/>
    </w:rPr>
  </w:style>
  <w:style w:type="paragraph" w:styleId="NormalWeb">
    <w:name w:val="Normal (Web)"/>
    <w:basedOn w:val="Normal"/>
    <w:uiPriority w:val="99"/>
    <w:semiHidden w:val="1"/>
    <w:unhideWhenUsed w:val="1"/>
    <w:rsid w:val="002B22B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es-ES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character" w:styleId="il" w:customStyle="1">
    <w:name w:val="il"/>
    <w:basedOn w:val="Fuentedeprrafopredeter"/>
    <w:rsid w:val="00DE225E"/>
  </w:style>
  <w:style w:type="paragraph" w:styleId="Prrafodelista">
    <w:name w:val="List Paragraph"/>
    <w:basedOn w:val="Normal"/>
    <w:uiPriority w:val="34"/>
    <w:qFormat w:val="1"/>
    <w:rsid w:val="00975B69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4.png"/><Relationship Id="rId13" Type="http://schemas.openxmlformats.org/officeDocument/2006/relationships/image" Target="media/image10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11.png"/><Relationship Id="rId14" Type="http://schemas.openxmlformats.org/officeDocument/2006/relationships/image" Target="media/image5.png"/><Relationship Id="rId17" Type="http://schemas.openxmlformats.org/officeDocument/2006/relationships/header" Target="header1.xml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9.png"/><Relationship Id="rId8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TVOGe6XCUXhJVn90PNlpP+hqPA==">AMUW2mV4sHmEjc5QeTmKNZLBQUIGPQmjWkgrcHcpBvQaG8Lb60bVF6KcJaxkd4iMoCjNljFR3bT75j1jdSw9dQCGTWUXjCVfVXFVFsDT6EjuW852w2j8T0JM8DflHNF/ASP8PSmcGTkI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2022-07-04T18:35:00Z</dcterms:created>
  <dc:creator>Paolo Marelli</dc:creator>
</cp:coreProperties>
</file>